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ind w:hanging="0"/>
        <w:jc w:val="start"/>
        <w:rPr>
          <w:rFonts w:ascii="Arial" w:hAnsi="Arial"/>
          <w:b/>
          <w:b/>
          <w:bCs/>
          <w:color w:val="auto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Taotlus Enampakkumisel osalemiseks</w:t>
      </w:r>
    </w:p>
    <w:p>
      <w:pPr>
        <w:pStyle w:val="Heading1"/>
        <w:ind w:hanging="0"/>
        <w:jc w:val="star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tbl>
      <w:tblPr>
        <w:tblW w:w="9583" w:type="dxa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64"/>
        <w:gridCol w:w="7318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Pakkuja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Pakkuja nimi: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Registrikood: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KMKR nr 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Telefon: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e-post: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Esindaja: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Pakkumise summa (numbrite ja sõnadega, eurodes):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Pakkumine esitatakse järgmistele müügiüksustele: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(kinnisasi)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Kinnistu nr: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171132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Aadress/Asukoht: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Larase-Juhani, Paslepa küla / Pasklep, Lääne-Nigula vald, Lääne maakon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Katastritunnus(ed):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52001:004:0771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Katastriüksuse sihtotstarve/sihtotstarbed: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Maatulundusmaa 100%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Pindala: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3,22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ha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Hoonestus: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puudub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Juurdepääsuinfo: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Juurdepääsu avalikult teelt (Pürksi-Paslepa tee)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Metsamajandamiskava: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Ei ole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Metsateatis(ed):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Ei ole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Olulised tingimused: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Hetkel peal kasvatatav põllukultuur võimaldatakse koristada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Kitsendused ja Piirangud: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InternetLink"/>
                <w:rFonts w:ascii="Arial" w:hAnsi="Arial"/>
                <w:b/>
                <w:bCs/>
                <w:color w:val="auto"/>
                <w:sz w:val="18"/>
                <w:szCs w:val="18"/>
              </w:rPr>
              <w:t>https://kitsendused.kataster.ee/public?code=52001:004:0771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Varjatud puudused: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Ei ole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Hüpoteek: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Ei ole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Alghind: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20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 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5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00 EUR (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kaks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kümmend tuhat 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viissada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 eurot)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Pakkumise esitamise tähtaeg: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30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.0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8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.2024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unikaalne meiliaadress: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240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830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@rhn.ee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Lisad: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1. Tõend EMTA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Kinnistute pindalaga üle 10 ha ostmiseks saavad pakkumisi esitada ainult äriühingud, kes esitavad tõendi (koopia) metsa- või põllumajandusega tegelemise kohta EMTA'lt. Eraisikutel ei ole tõendit vaja.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2. Volikiri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Kui äriühingu poolt esitatud pakkumisele kirjutab alla isik, kes ei ole Enampakkuja seaduslik esindaja, lisatakse pakkumisele digitaalne või notariaalne volikiri seaduslikult esindajalt.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tingimused: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1. Eesti Erametsa Grupp OÜ korraldab Kinnisasja või raieõiguse enampakkumise omaniku nõusolekul ja soovil eesmärgiga võõrandada müügiüksus/oksjoniese parimale pakkujale.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2. Käesolevaga esitab Eesti Erametsa Grupp OÜ kutse enampakkumisel osalemiseks professionaalsetele metsa- ja põllumaa kinnistutega tegelevatele ettevõtetele ja eraisikutele müügiüksuse (Kinnistu või Raieõiguse) ostmiseks.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3. Müügiüksuse olulised andmed on käesolevas vormis kajastatud.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4. Enampakkuja on õigus Kinnistuga tutvuda kohapeal, koguda vajadusel lisateavet. Kui on vaja täiendavat teavet või tekib küsimusi, võib Enampakkujal julgelt pöörduda Eesti Erametsa Grupp OÜ klienditoega e-posti teel aadressil info@rhn.ee.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5. Enampakkujal on õigus esitada hinnapakkumine (muude tingimuste muutmine ei ole võimalik).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6. Pakkumine peab olema väljendatud sõnade ja/või numbritega. Kui sõnade ja numbritega pakkumised erinevad, loetakse õigeks sõnadega kirjutatud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7. Pakkumine peab olema võrdne või suurem alghinnast 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205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00eurot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8. Alla Alghinna pakutud hinna korral ei ole Müüjal oksjoni müügieseme võõrandamise kohustust.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9. Kui Enampakkumisel selgunud parim pakkumine on Alghinnast madalam, teavitab Eesti Erametsa Grupp OÜ müügieseme (Kinnistu/raieõiguse) omanikku, kes soovi korral nõustub või lükkab pakkumise tagasi. Alghinnast madalama pakkumise tagasi lükkamise korral loetakse enampakkumine ebaõnnestunuks. Alghinnast madalama pakkumise aktsepteerimise korral jätkavad osapooled müügieseme võõrandamisega vastavalt Enampakkumise tingimustele.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10. Pakkumine peab olema esitatud Pakkumise esitamise tähtajaks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8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.2024 kell 14:00)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11. Pakkumine peab olema digitaalselt allkirjastatud allkirjaõigusliku isiku poolt.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12. Pakkumine peab olema saadetud Enampakkumise unikaalsele meiliaadressile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(240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830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@rhn.ee)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13. Pakkumine on siduv ja tagasivõetamatu. 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Enampakkumisel osalejad on oma pakkumisega seotud alates pakkumise tegemisest kuni enampakkumise tulemuste kinnitamiseni. Isik või isikud, kelle kasuks enampakkumise tulemused kinnitatakse, on oma pakkumisega seotud kuni lepingu sõlmimiseni.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14. Enampakkumise tulemused avatakse (Enampakkumise unikaalsele meiliaadressile sisenetakse) 1 tööpäeva jooksul arvestades Pakkumise esitamise tähtajast. Pakkumise esitajatel on õigus olla pakkumiste avamise juures.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15. Enampakkumise tulemuste kohta koostataks Protokoll. Protokollis kajastatakse parima pakkumise teinud Enampakkuja ja pakkumise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16. Enampakkumise tulemus kinnitatakse kõrgeima rahalise pakkumise teinud isiku kasuks.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17. Võrdsete Pakkumiste korral, loetakse paremaks pakkumine, mis on esitatud ajaliselt varem.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18. Parima pakkumise teinud Enampakkujat teavitatakes Enampakkumise tulemuste kinnitamisega samal tööpäeval e-posti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19. Kinnistu ostu-müügi leping sõlmitakse Notariaalselt parima pakkumise teinud Enampakkuja ja Kinnistuomaniku vahel 1 kuu jooksul peale Enampakkumise tulemuste kinnitamist. Eesti Erametsa Grupp OÜ teatab tehingu aja ja koha meili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20. Parima pakkumise teinud Enampakkuja tasub pakutud summa enne tehingut notari deposiiti.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21. Tehingu kulud jagunevad: hüpoteegi kustutamise ja kinnisasja kaasomandi lõpetamisega seotud kulud tasub Omanik/Müüja ja kinnisasja ühendamise ja jagamise ning muud müügitehinguks vajalikud kulud - müügitehingu notaritasud ning riigilõivud tasuvad Ostja ja Omanik/Müüja võrdselt (jagavad need kulud pooleks, Ostja tasub 50% ja Müüja 50%) . Omanik/Müüja tasub samuti kinnistuga seotud võlad ja müügitehingu sõlmimise ajaks tasumisele kuuluvad maksud.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22. Eesti Erametsa Grupp OÜ säilitab Pakkumisi ühe aasta peale notaritehingu toimumist.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23. Pakkumisest taganemisel on Enampakkuja kohustatud tasuma leppetrahvi 6% pakutud summast. Pakkumisest taganemiseks loetakse notariaalse lepingu sõlmimisest keeldumist ja kokkulepitud ajaks notari tehingule mitte ilmumist.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24. Pakkumise esitamisega kinnitab Enampakkuja, et on Müügiüksuse/Kinnisasja üle vaadanud ja seisukorrast teadlik ja nõus Kinnisasja omandama seisundis, millises see Pakkumise tegemise hetkel on.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25. Pakkumise esitamisega kinnitab Enampakkuja, et on tutvunud, mõistnud ja nõustub Enampakkumise tingimustega ning kohustub neid järgima.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1634490</wp:posOffset>
          </wp:positionH>
          <wp:positionV relativeFrom="paragraph">
            <wp:posOffset>-624840</wp:posOffset>
          </wp:positionV>
          <wp:extent cx="2407285" cy="632460"/>
          <wp:effectExtent l="0" t="0" r="0" b="0"/>
          <wp:wrapSquare wrapText="largest"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Heading1">
    <w:name w:val="Heading 1"/>
    <w:qFormat/>
    <w:pPr>
      <w:widowControl/>
      <w:suppressAutoHyphens w:val="true"/>
      <w:overflowPunct w:val="true"/>
      <w:bidi w:val="0"/>
      <w:spacing w:before="0" w:after="0"/>
      <w:jc w:val="start"/>
      <w:outlineLvl w:val="0"/>
    </w:pPr>
    <w:rPr>
      <w:rFonts w:ascii="Times New Roman" w:hAnsi="Times New Roman" w:eastAsia="Times New Roman" w:cs="Times New Roman"/>
      <w:color w:val="2E74B5"/>
      <w:kern w:val="0"/>
      <w:sz w:val="32"/>
      <w:szCs w:val="32"/>
      <w:lang w:val="en-EE" w:eastAsia="en-GB" w:bidi="ar-SA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LibreOffice/7.2.5.2$Windows_X86_64 LibreOffice_project/499f9727c189e6ef3471021d6132d4c694f357e5</Application>
  <AppVersion>15.0000</AppVersion>
  <Pages>2</Pages>
  <Words>655</Words>
  <Characters>4973</Characters>
  <CharactersWithSpaces>5555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2024-08-06T12:27:06Z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