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hanging="0"/>
        <w:jc w:val="start"/>
        <w:rPr>
          <w:rFonts w:ascii="Arial" w:hAnsi="Arial"/>
          <w:b/>
          <w:b/>
          <w:bCs/>
          <w:color w:val="auto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Taotlus Enampakkumisel osalemiseks</w:t>
      </w:r>
    </w:p>
    <w:p>
      <w:pPr>
        <w:pStyle w:val="Heading1"/>
        <w:ind w:hanging="0"/>
        <w:jc w:val="start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</w:r>
    </w:p>
    <w:tbl>
      <w:tblPr>
        <w:tblW w:w="9583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264"/>
        <w:gridCol w:w="7318"/>
      </w:tblGrid>
      <w:tr>
        <w:trPr/>
        <w:tc>
          <w:tcPr>
            <w:tcW w:w="958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Pakkuja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Pakkuja nimi: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Registrikood: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KMKR nr 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Telefon: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e-post: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Esindaja: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Pakkumise summa (numbrite ja sõnadega, eurodes):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Pakkumine esitatakse järgmistele müügiüksustele: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Kinnistu nr: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1410435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Aadress/Asukoht: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Koltsi, Mullavere küla, Jõgeva vald, Jõgeva maakond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Katastritunnus(ed):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57801:001:0388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Katastriüksuse sihtotstarve/sihtotstarbed: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Maatulundusmaa 100%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Pindala: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12,74 ha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Hoonestus: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puudub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Juurdepääsuinfo: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Juurdepääs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kinnistule on olemas ja kinnistut läbib tee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Metsamajandamiskava: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Kava on koostatud: 16.05.2023 – alla laetav rhn.ee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Metsateatis(ed):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Metsateatis nr 50000963698, katastritunnus 57801:001:0388, eraldis nr 6.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Metsateatis nr 50000963696, katastritunnus 57801:001:0388, eraldis nr 3.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Metsateatis nr 50000963692, katastritunnus 57801:001:0388, eraldis nr 1.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Raied ei ole teostatud ega võõrandatud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Olulised tingimused: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C9211E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C9211E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Kitsendused ja Piirangud: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/>
            </w:pPr>
            <w:r>
              <w:fldChar w:fldCharType="begin"/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instrText> HYPERLINK "https://kitsendused.maaamet.ee/" \l "/avalik;ky=57801:001:0388"</w:instrTex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separate"/>
            </w:r>
            <w:r>
              <w:rPr>
                <w:rStyle w:val="InternetLink"/>
                <w:rFonts w:ascii="Arial" w:hAnsi="Arial"/>
                <w:b/>
                <w:bCs/>
                <w:color w:val="auto"/>
                <w:sz w:val="18"/>
                <w:szCs w:val="18"/>
              </w:rPr>
              <w:t>https://kitsendused.maaamet.ee/#/avalik;ky=57801:001:0388</w: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end"/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Varjatud puudused: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Hüpoteek: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Alghind: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59 900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 xml:space="preserve"> EUR 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Pakkumise esitamise tähtaeg: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29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.03.2024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unikaalne meiliaadress: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202403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29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@rhn.ee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Lisad: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1. Tõend EMTA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Kinnistute pindalaga üle 10 ha ostmiseks saavad pakkumisi esitada ainult äriühingud, kes esitavad tõendi (koopia) metsa- või põllumajandusega tegelemise kohta EMTA'lt. Eraisikutel ei ole tõendit vaja.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2. Volikiri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Kui äriühingu poolt esitatud pakkumisele kirjutab alla isik, kes ei ole Enampakkuja seaduslik esindaja, lisatakse pakkumisele digitaalne või notariaalne volikiri seaduslikult esindajalt.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tingimused: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1. Eesti Erametsa Grupp OÜ korraldab Kinnisasja või raieõiguse enampakkumise omaniku nõusolekul ja soovil eesmärgiga võõrandada müügiüksus/oksjoniese parimale pakkujale.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2. Käesolevaga esitab Eesti Erametsa Grupp OÜ kutse enampakkumisel osalemiseks professionaalsetele metsa- ja põllumaa kinnistutega tegelevatele ettevõtetele ja eraisikutele müügiüksuse (Kinnistu või Raieõiguse) ostmiseks.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3. Müügiüksuse olulised andmed on käesolevas vormis kajastatud.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4. Enampakkuja on õigus Kinnistuga tutvuda kohapeal, koguda vajadusel lisateavet. Kui on vaja täiendavat teavet või tekib küsimusi, võib Enampakkujal julgelt pöörduda Eesti Erametsa Grupp OÜ klienditoega e-posti teel aadressil info@rhn.ee.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5. Enampakkujal on õigus esitada hinnapakkumine (muude tingimuste muutmine ei ole võimalik).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6. Pakkumine peab olema väljendatud sõnade ja/või numbritega. Kui sõnade ja numbritega pakkumised erinevad, loetakse õigeks sõnadega kirjutatud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7. Pakkumine peab olema võrdne või suurem alghinnast (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59 9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00eurot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8. Alla Alghinna pakutud hinna korral ei ole Müüjal oksjoni müügieseme võõrandamise kohustust.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9. Kui Enampakkumisel selgunud parim pakkumine on Alghinnast madalam, teavitab Eesti Erametsa Grupp OÜ müügieseme (Kinnistu/raieõiguse) omanikku, kes soovi korral nõustub või lükkab pakkumise tagasi. Alghinnast madalama pakkumise tagasi lükkamise korral loetakse enampakkumine ebaõnnestunuks. Alghinnast madalama pakkumise aktsepteerimise korral jätkavad osapooled müügieseme võõrandamisega vastavalt Enampakkumise tingimustele.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10. Pakkumine peab olema esitatud Pakkumise esitamise tähtajaks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29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.03.2024 kell 14:00)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11. Pakkumine peab olema digitaalselt allkirjastatud allkirjaõigusliku isiku poolt.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12. Pakkumine peab olema saadetud Enampakkumise unikaalsele meiliaadressile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(202403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29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@rhn.ee)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13. Pakkumine on siduv ja tagasivõetamatu. 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Enampakkumisel osalejad on oma pakkumisega seotud alates pakkumise tegemisest kuni enampakkumise tulemuste kinnitamiseni. Isik või isikud, kelle kasuks enampakkumise tulemused kinnitatakse, on oma pakkumisega seotud kuni lepingu sõlmimiseni.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14. Enampakkumise tulemused avatakse (Enampakkumise unikaalsele meiliaadressile sisenetakse) 1 tööpäeva jooksul arvestades Pakkumise esitamise tähtajast. Pakkumise esitajatel on õigus olla pakkumiste avamise juures.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15. Enampakkumise tulemuste kohta koostataks Protokoll. Protokollis kajastatakse parima pakkumise teinud Enampakkuja ja pakkumise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16. Enampakkumise tulemus kinnitatakse kõrgeima rahalise pakkumise teinud isiku kasuks.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17. Võrdsete Pakkumiste korral, loetakse paremaks pakkumine, mis on esitatud ajaliselt varem.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18. Parima pakkumise teinud Enampakkujat teavitatakes Enampakkumise tulemuste kinnitamisega samal tööpäeval e-posti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19. Kinnistu ostu-müügi leping sõlmitakse Notariaalselt parima pakkumise teinud Enampakkuja ja Kinnistuomaniku vahel 1 kuu jooksul peale Enampakkumise tulemuste kinnitamist. Eesti Erametsa Grupp OÜ teatab tehingu aja ja koha meili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20. Parima pakkumise teinud Enampakkuja tasub pakutud summa enne tehingut notari deposiiti.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21. Tehingu kulud jagunevad: hüpoteegi kustutamise ja kinnisasja kaasomandi lõpetamisega seotud kulud tasub Omanik/Müüja ja kinnisasja ühendamise ja jagamise ning muud müügitehinguks vajalikud kulud - müügitehingu notaritasud ning riigilõivud tasuvad Ostja ja Omanik/Müüja võrdselt (jagavad need kulud pooleks, Ostja tasub 50% ja Müüja 50%) . Omanik/Müüja tasub samuti kinnistuga seotud võlad ja müügitehingu sõlmimise ajaks tasumisele kuuluvad maksud.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22. Eesti Erametsa Grupp OÜ säilitab Pakkumisi ühe aasta peale notaritehingu toimumist.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23. Pakkumisest taganemisel on Enampakkuja kohustatud tasuma leppetrahvi 6% pakutud summast. Pakkumisest taganemiseks loetakse notariaalse lepingu sõlmimisest keeldumist ja kokkulepitud ajaks notari tehingule mitte ilmumist.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24. Pakkumise esitamisega kinnitab Enampakkuja, et on Müügiüksuse/Kinnisasja üle vaadanud ja seisukorrast teadlik ja nõus Kinnisasja omandama seisundis, millises see Pakkumise tegemise hetkel on.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25. Pakkumise esitamisega kinnitab Enampakkuja, et on tutvunud, mõistnud ja nõustub Enampakkumise tingimustega ning kohustub neid järgima.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start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1634490</wp:posOffset>
          </wp:positionH>
          <wp:positionV relativeFrom="paragraph">
            <wp:posOffset>-624840</wp:posOffset>
          </wp:positionV>
          <wp:extent cx="2407285" cy="632460"/>
          <wp:effectExtent l="0" t="0" r="0" b="0"/>
          <wp:wrapSquare wrapText="largest"/>
          <wp:docPr id="1" name="Imag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t-EE" w:eastAsia="zh-CN" w:bidi="hi-IN"/>
    </w:rPr>
  </w:style>
  <w:style w:type="paragraph" w:styleId="Heading1">
    <w:name w:val="Heading 1"/>
    <w:qFormat/>
    <w:pPr>
      <w:widowControl/>
      <w:suppressAutoHyphens w:val="true"/>
      <w:overflowPunct w:val="false"/>
      <w:bidi w:val="0"/>
      <w:spacing w:before="0" w:after="0"/>
      <w:jc w:val="start"/>
      <w:outlineLvl w:val="0"/>
    </w:pPr>
    <w:rPr>
      <w:rFonts w:ascii="Times New Roman" w:hAnsi="Times New Roman" w:eastAsia="Times New Roman" w:cs="Times New Roman"/>
      <w:color w:val="2E74B5"/>
      <w:kern w:val="0"/>
      <w:sz w:val="32"/>
      <w:szCs w:val="32"/>
      <w:lang w:val="en-EE" w:eastAsia="en-GB" w:bidi="ar-SA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LibreOffice/7.2.5.2$Windows_X86_64 LibreOffice_project/499f9727c189e6ef3471021d6132d4c694f357e5</Application>
  <AppVersion>15.0000</AppVersion>
  <Pages>2</Pages>
  <Words>678</Words>
  <Characters>5117</Characters>
  <CharactersWithSpaces>5721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dcterms:modified xsi:type="dcterms:W3CDTF">2024-03-14T16:58:22Z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