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2028336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Juurepõllu, Kareda küla, Järva vald, Järva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25501:001:1103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2.35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Juurdepääs (Teeregistri järgi) teelt nr 2880006 Kareda tee, avalik tee, maantee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instrText> HYPERLINK "https://kitsendused.maaamet.ee/" \l "/avalik;ky=25501:001:1103"</w:instrTex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separate"/>
            </w:r>
            <w:r>
              <w:rPr>
                <w:rStyle w:val="InternetLink"/>
                <w:rFonts w:ascii="Arial" w:hAnsi="Arial"/>
                <w:b/>
                <w:bCs/>
                <w:color w:val="auto"/>
                <w:sz w:val="18"/>
                <w:szCs w:val="18"/>
              </w:rPr>
              <w:t>https://kitsendused.maaamet.ee/#/avalik;ky=25501:001:1103</w:t>
            </w:r>
            <w:r>
              <w:rPr>
                <w:rStyle w:val="InternetLink"/>
                <w:sz w:val="18"/>
                <w:b/>
                <w:szCs w:val="18"/>
                <w:bCs/>
                <w:rFonts w:ascii="Arial" w:hAnsi="Arial"/>
                <w:color w:val="auto"/>
              </w:rPr>
              <w:fldChar w:fldCharType="end"/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10 900 EUR kümme tuhat üheksasada eurot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14.03.2024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20241403@rhn.ee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o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10 900eurot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(14.03.2024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(20241403@rhn.ee)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21. Tehingu kulud jagunevad: hüpoteegi kustutamise ja kinnisasja kaasomandi lõpetamisega seotud kulud tasub Omanik/Müüja ja kinnisasja ühendamise ja jagamise ning muud müügitehinguks vajalikud kulud - müügitehingu notaritasud ning riigilõivud tasuvad Ostja ja Omanik/Müüja võrdselt (jagavad need kulud pooleks, Ostja tasub 50% ja Müüja 50%) .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LibreOffice/7.2.5.2$Windows_X86_64 LibreOffice_project/499f9727c189e6ef3471021d6132d4c694f357e5</Application>
  <AppVersion>15.0000</AppVersion>
  <Pages>2</Pages>
  <Words>650</Words>
  <Characters>4893</Characters>
  <CharactersWithSpaces>5470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2024-02-14T16:54:27Z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